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AFDF" w14:textId="77777777" w:rsidR="003E1A05" w:rsidRPr="00AE6484" w:rsidRDefault="003E1A05" w:rsidP="003E1A05">
      <w:pPr>
        <w:ind w:left="2832" w:firstLine="708"/>
        <w:rPr>
          <w:b/>
          <w:sz w:val="28"/>
          <w:szCs w:val="28"/>
        </w:rPr>
      </w:pPr>
      <w:r w:rsidRPr="00AE6484">
        <w:rPr>
          <w:b/>
          <w:noProof/>
          <w:sz w:val="28"/>
          <w:szCs w:val="28"/>
          <w:lang w:val="en-US"/>
        </w:rPr>
        <w:drawing>
          <wp:inline distT="0" distB="0" distL="0" distR="0" wp14:anchorId="0E48E9BA" wp14:editId="1E3B4DED">
            <wp:extent cx="1263015" cy="10217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C772" w14:textId="77777777" w:rsidR="003D75CB" w:rsidRPr="00AE6484" w:rsidRDefault="00D7464D" w:rsidP="00E41932">
      <w:pPr>
        <w:spacing w:after="0"/>
        <w:jc w:val="center"/>
        <w:rPr>
          <w:b/>
          <w:sz w:val="28"/>
          <w:szCs w:val="28"/>
        </w:rPr>
      </w:pPr>
      <w:r w:rsidRPr="00AE6484">
        <w:rPr>
          <w:b/>
          <w:sz w:val="28"/>
          <w:szCs w:val="28"/>
        </w:rPr>
        <w:t>SMLOUVA O DÍLO</w:t>
      </w:r>
      <w:r w:rsidR="003E1A05" w:rsidRPr="00AE6484">
        <w:rPr>
          <w:b/>
          <w:sz w:val="28"/>
          <w:szCs w:val="28"/>
        </w:rPr>
        <w:t xml:space="preserve"> </w:t>
      </w:r>
    </w:p>
    <w:p w14:paraId="67821430" w14:textId="77777777" w:rsidR="00AF1B51" w:rsidRPr="00AE6484" w:rsidRDefault="00FB3469" w:rsidP="00E419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výměna stmívačů v Centru experimentálního divadla, p.</w:t>
      </w:r>
      <w:r w:rsidR="003E7E0C">
        <w:rPr>
          <w:b/>
          <w:sz w:val="24"/>
          <w:szCs w:val="24"/>
        </w:rPr>
        <w:t xml:space="preserve"> o. (zkušebna, ko</w:t>
      </w:r>
      <w:r>
        <w:rPr>
          <w:b/>
          <w:sz w:val="24"/>
          <w:szCs w:val="24"/>
        </w:rPr>
        <w:t>ngresový sál)</w:t>
      </w:r>
    </w:p>
    <w:p w14:paraId="044D62FD" w14:textId="77777777" w:rsidR="003E1A05" w:rsidRPr="00AE6484" w:rsidRDefault="003E1A05" w:rsidP="00D7464D">
      <w:pPr>
        <w:jc w:val="center"/>
        <w:rPr>
          <w:sz w:val="24"/>
          <w:szCs w:val="24"/>
        </w:rPr>
      </w:pPr>
      <w:r w:rsidRPr="00AE6484">
        <w:rPr>
          <w:sz w:val="24"/>
          <w:szCs w:val="24"/>
        </w:rPr>
        <w:t xml:space="preserve">dle § 2586 a násl. zák. 89/2012 Sb. obchodního zákoníku </w:t>
      </w:r>
    </w:p>
    <w:p w14:paraId="27DB2674" w14:textId="77777777" w:rsidR="0029213E" w:rsidRDefault="0029213E" w:rsidP="00E41932">
      <w:pPr>
        <w:rPr>
          <w:sz w:val="24"/>
          <w:szCs w:val="24"/>
        </w:rPr>
      </w:pPr>
    </w:p>
    <w:p w14:paraId="1D5EFFDE" w14:textId="77777777" w:rsidR="003E1A05" w:rsidRPr="00AE6484" w:rsidRDefault="003E1A05" w:rsidP="00E41932">
      <w:pPr>
        <w:rPr>
          <w:sz w:val="24"/>
          <w:szCs w:val="24"/>
        </w:rPr>
      </w:pPr>
      <w:r w:rsidRPr="00AE6484">
        <w:rPr>
          <w:sz w:val="24"/>
          <w:szCs w:val="24"/>
        </w:rPr>
        <w:t>smluvní strany</w:t>
      </w:r>
    </w:p>
    <w:p w14:paraId="608AA550" w14:textId="77777777" w:rsidR="003E1A05" w:rsidRPr="00AE6484" w:rsidRDefault="003E1A05" w:rsidP="003E1A05">
      <w:pPr>
        <w:spacing w:after="0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Centrum experimentálního divadla, příspěvková organizace</w:t>
      </w:r>
    </w:p>
    <w:p w14:paraId="41F4DAB5" w14:textId="77777777" w:rsidR="003E1A05" w:rsidRPr="00AE6484" w:rsidRDefault="00A50575" w:rsidP="003E1A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3E1A05" w:rsidRPr="00AE6484">
        <w:rPr>
          <w:sz w:val="24"/>
          <w:szCs w:val="24"/>
        </w:rPr>
        <w:t>Zelný trh 294/9, 602 00</w:t>
      </w:r>
      <w:r w:rsidR="0029213E">
        <w:rPr>
          <w:sz w:val="24"/>
          <w:szCs w:val="24"/>
        </w:rPr>
        <w:t xml:space="preserve"> </w:t>
      </w:r>
      <w:r w:rsidR="0029213E" w:rsidRPr="00AE6484">
        <w:rPr>
          <w:sz w:val="24"/>
          <w:szCs w:val="24"/>
        </w:rPr>
        <w:t>Brno</w:t>
      </w:r>
    </w:p>
    <w:p w14:paraId="69773A20" w14:textId="77777777" w:rsidR="003E1A05" w:rsidRPr="00AE6484" w:rsidRDefault="003E1A05" w:rsidP="003E1A05">
      <w:pPr>
        <w:spacing w:after="0"/>
        <w:rPr>
          <w:sz w:val="24"/>
          <w:szCs w:val="24"/>
        </w:rPr>
      </w:pPr>
      <w:r w:rsidRPr="00AE6484">
        <w:rPr>
          <w:sz w:val="24"/>
          <w:szCs w:val="24"/>
        </w:rPr>
        <w:t>IČ: 004 009 21</w:t>
      </w:r>
    </w:p>
    <w:p w14:paraId="1DFDDECE" w14:textId="77777777" w:rsidR="003E1A05" w:rsidRPr="00AE6484" w:rsidRDefault="003F4D14" w:rsidP="003E1A05">
      <w:pPr>
        <w:spacing w:after="0"/>
        <w:rPr>
          <w:sz w:val="24"/>
          <w:szCs w:val="24"/>
        </w:rPr>
      </w:pPr>
      <w:r>
        <w:rPr>
          <w:sz w:val="24"/>
          <w:szCs w:val="24"/>
        </w:rPr>
        <w:t>OR: spis. zn.</w:t>
      </w:r>
      <w:r w:rsidR="003E1A05" w:rsidRPr="00AE6484">
        <w:rPr>
          <w:sz w:val="24"/>
          <w:szCs w:val="24"/>
        </w:rPr>
        <w:t xml:space="preserve"> </w:t>
      </w:r>
      <w:proofErr w:type="spellStart"/>
      <w:r w:rsidR="003E1A05" w:rsidRPr="00AE6484">
        <w:rPr>
          <w:sz w:val="24"/>
          <w:szCs w:val="24"/>
        </w:rPr>
        <w:t>Pr</w:t>
      </w:r>
      <w:proofErr w:type="spellEnd"/>
      <w:r w:rsidR="003E1A05" w:rsidRPr="00AE6484">
        <w:rPr>
          <w:sz w:val="24"/>
          <w:szCs w:val="24"/>
        </w:rPr>
        <w:t>. 29 Krajský soud v Brně</w:t>
      </w:r>
    </w:p>
    <w:p w14:paraId="2F593E02" w14:textId="77777777" w:rsidR="003E1A05" w:rsidRPr="00AE6484" w:rsidRDefault="003E1A05" w:rsidP="003E1A05">
      <w:pPr>
        <w:spacing w:after="0"/>
        <w:rPr>
          <w:sz w:val="24"/>
          <w:szCs w:val="24"/>
        </w:rPr>
      </w:pPr>
      <w:r w:rsidRPr="00AE6484">
        <w:rPr>
          <w:sz w:val="24"/>
          <w:szCs w:val="24"/>
        </w:rPr>
        <w:t>Bank. spojení: 86532-621/0100</w:t>
      </w:r>
    </w:p>
    <w:p w14:paraId="0DAC9CE9" w14:textId="77777777" w:rsidR="003E1A05" w:rsidRPr="00AE6484" w:rsidRDefault="003E1A05" w:rsidP="003E1A05">
      <w:pPr>
        <w:spacing w:after="0"/>
        <w:rPr>
          <w:sz w:val="24"/>
          <w:szCs w:val="24"/>
        </w:rPr>
      </w:pPr>
      <w:r w:rsidRPr="00AE6484">
        <w:rPr>
          <w:sz w:val="24"/>
          <w:szCs w:val="24"/>
        </w:rPr>
        <w:t>zastoupená: prof. Petr Oslzlý, ředitel organizace</w:t>
      </w:r>
    </w:p>
    <w:p w14:paraId="320C4361" w14:textId="77777777" w:rsidR="003E1A05" w:rsidRPr="00AE6484" w:rsidRDefault="003E1A05" w:rsidP="000531DE">
      <w:pPr>
        <w:spacing w:after="0" w:line="240" w:lineRule="auto"/>
        <w:rPr>
          <w:sz w:val="24"/>
          <w:szCs w:val="24"/>
        </w:rPr>
      </w:pPr>
      <w:r w:rsidRPr="00AE6484">
        <w:rPr>
          <w:sz w:val="24"/>
          <w:szCs w:val="24"/>
        </w:rPr>
        <w:t xml:space="preserve">(dále jen „objednatel“) </w:t>
      </w:r>
    </w:p>
    <w:p w14:paraId="1B81A493" w14:textId="77777777" w:rsidR="003E1A05" w:rsidRPr="0029213E" w:rsidRDefault="003E1A05" w:rsidP="000531DE">
      <w:pPr>
        <w:spacing w:after="0" w:line="240" w:lineRule="auto"/>
        <w:rPr>
          <w:sz w:val="20"/>
          <w:szCs w:val="20"/>
        </w:rPr>
      </w:pPr>
    </w:p>
    <w:p w14:paraId="5793680E" w14:textId="77777777" w:rsidR="003E1A05" w:rsidRPr="00AE6484" w:rsidRDefault="003E1A05" w:rsidP="000531DE">
      <w:pPr>
        <w:spacing w:after="0" w:line="240" w:lineRule="auto"/>
        <w:rPr>
          <w:sz w:val="24"/>
          <w:szCs w:val="24"/>
        </w:rPr>
      </w:pPr>
      <w:r w:rsidRPr="00AE6484">
        <w:rPr>
          <w:sz w:val="24"/>
          <w:szCs w:val="24"/>
        </w:rPr>
        <w:t xml:space="preserve">a </w:t>
      </w:r>
    </w:p>
    <w:p w14:paraId="4D0BB3F5" w14:textId="77777777" w:rsidR="003E1A05" w:rsidRPr="0029213E" w:rsidRDefault="003E1A05" w:rsidP="000531DE">
      <w:pPr>
        <w:spacing w:after="0" w:line="240" w:lineRule="auto"/>
        <w:rPr>
          <w:sz w:val="20"/>
          <w:szCs w:val="20"/>
        </w:rPr>
      </w:pPr>
    </w:p>
    <w:p w14:paraId="550393CC" w14:textId="77777777" w:rsidR="003E1A05" w:rsidRPr="003F4D14" w:rsidRDefault="003E7E0C" w:rsidP="000531DE">
      <w:pPr>
        <w:spacing w:after="0" w:line="240" w:lineRule="auto"/>
        <w:rPr>
          <w:b/>
          <w:sz w:val="24"/>
          <w:szCs w:val="24"/>
        </w:rPr>
      </w:pPr>
      <w:r w:rsidRPr="003F4D14">
        <w:rPr>
          <w:b/>
          <w:sz w:val="24"/>
          <w:szCs w:val="24"/>
        </w:rPr>
        <w:t>TS technik s. r. o.</w:t>
      </w:r>
    </w:p>
    <w:p w14:paraId="0549D221" w14:textId="77777777" w:rsidR="003F4D14" w:rsidRPr="003F4D14" w:rsidRDefault="00A50575" w:rsidP="00A50575">
      <w:pPr>
        <w:spacing w:after="0" w:line="240" w:lineRule="auto"/>
        <w:rPr>
          <w:sz w:val="24"/>
          <w:szCs w:val="24"/>
        </w:rPr>
      </w:pPr>
      <w:r w:rsidRPr="003F4D14">
        <w:rPr>
          <w:sz w:val="24"/>
          <w:szCs w:val="24"/>
        </w:rPr>
        <w:t xml:space="preserve">se sídlem: </w:t>
      </w:r>
      <w:r w:rsidR="003F4D14" w:rsidRPr="003F4D14">
        <w:rPr>
          <w:color w:val="333333"/>
          <w:sz w:val="24"/>
          <w:szCs w:val="24"/>
          <w:shd w:val="clear" w:color="auto" w:fill="FFFFFF"/>
        </w:rPr>
        <w:t>č.p. 328, 664 57 Měnín</w:t>
      </w:r>
    </w:p>
    <w:p w14:paraId="7C0EE75E" w14:textId="77777777" w:rsidR="003E1A05" w:rsidRPr="003F4D14" w:rsidRDefault="003E1A05" w:rsidP="00A50575">
      <w:pPr>
        <w:spacing w:after="0" w:line="240" w:lineRule="auto"/>
        <w:rPr>
          <w:sz w:val="24"/>
          <w:szCs w:val="24"/>
        </w:rPr>
      </w:pPr>
      <w:r w:rsidRPr="003F4D14">
        <w:rPr>
          <w:sz w:val="24"/>
          <w:szCs w:val="24"/>
        </w:rPr>
        <w:t xml:space="preserve">IČ: </w:t>
      </w:r>
      <w:r w:rsidR="003F4D14" w:rsidRPr="003F4D14">
        <w:rPr>
          <w:color w:val="333333"/>
          <w:sz w:val="24"/>
          <w:szCs w:val="24"/>
          <w:shd w:val="clear" w:color="auto" w:fill="FFFFFF"/>
        </w:rPr>
        <w:t>26946971</w:t>
      </w:r>
    </w:p>
    <w:p w14:paraId="62CF07DE" w14:textId="77777777" w:rsidR="00AF1B51" w:rsidRPr="003F4D14" w:rsidRDefault="003F4D14" w:rsidP="003E1A05">
      <w:pPr>
        <w:spacing w:after="0"/>
        <w:rPr>
          <w:sz w:val="24"/>
          <w:szCs w:val="24"/>
        </w:rPr>
      </w:pPr>
      <w:r w:rsidRPr="003F4D14">
        <w:rPr>
          <w:sz w:val="24"/>
          <w:szCs w:val="24"/>
        </w:rPr>
        <w:t xml:space="preserve">OR: spis. zn. </w:t>
      </w:r>
      <w:r w:rsidRPr="003F4D14">
        <w:rPr>
          <w:color w:val="333333"/>
          <w:sz w:val="24"/>
          <w:szCs w:val="24"/>
          <w:shd w:val="clear" w:color="auto" w:fill="FFFFFF"/>
        </w:rPr>
        <w:t>C 47339 vedená u Krajského soudu v Brně</w:t>
      </w:r>
    </w:p>
    <w:p w14:paraId="3B6DC044" w14:textId="77777777" w:rsidR="00AF1B51" w:rsidRPr="003F4D14" w:rsidRDefault="00AF1B51" w:rsidP="003E1A05">
      <w:pPr>
        <w:spacing w:after="0"/>
        <w:rPr>
          <w:sz w:val="24"/>
          <w:szCs w:val="24"/>
        </w:rPr>
      </w:pPr>
      <w:r w:rsidRPr="003F4D14">
        <w:rPr>
          <w:sz w:val="24"/>
          <w:szCs w:val="24"/>
        </w:rPr>
        <w:t xml:space="preserve">Bank. spojení: </w:t>
      </w:r>
      <w:proofErr w:type="spellStart"/>
      <w:r w:rsidRPr="003F4D14">
        <w:rPr>
          <w:sz w:val="24"/>
          <w:szCs w:val="24"/>
          <w:highlight w:val="yellow"/>
        </w:rPr>
        <w:t>xxx</w:t>
      </w:r>
      <w:proofErr w:type="spellEnd"/>
      <w:r w:rsidRPr="003F4D14">
        <w:rPr>
          <w:sz w:val="24"/>
          <w:szCs w:val="24"/>
        </w:rPr>
        <w:t xml:space="preserve"> </w:t>
      </w:r>
    </w:p>
    <w:p w14:paraId="7C75CAC3" w14:textId="77777777" w:rsidR="00AF1B51" w:rsidRPr="003F4D14" w:rsidRDefault="00104E25" w:rsidP="003E1A05">
      <w:pPr>
        <w:spacing w:after="0"/>
        <w:rPr>
          <w:sz w:val="24"/>
          <w:szCs w:val="24"/>
        </w:rPr>
      </w:pPr>
      <w:r w:rsidRPr="003F4D14">
        <w:rPr>
          <w:sz w:val="24"/>
          <w:szCs w:val="24"/>
        </w:rPr>
        <w:t>zastoupen</w:t>
      </w:r>
      <w:r w:rsidR="003F4D14" w:rsidRPr="003F4D14">
        <w:rPr>
          <w:sz w:val="24"/>
          <w:szCs w:val="24"/>
        </w:rPr>
        <w:t>á</w:t>
      </w:r>
      <w:r w:rsidR="00AF1B51" w:rsidRPr="003F4D14">
        <w:rPr>
          <w:sz w:val="24"/>
          <w:szCs w:val="24"/>
        </w:rPr>
        <w:t xml:space="preserve">: </w:t>
      </w:r>
      <w:r w:rsidR="003F4D14" w:rsidRPr="003F4D14">
        <w:rPr>
          <w:sz w:val="24"/>
          <w:szCs w:val="24"/>
        </w:rPr>
        <w:t>Jan Sedláček</w:t>
      </w:r>
      <w:r w:rsidR="0029213E">
        <w:rPr>
          <w:sz w:val="24"/>
          <w:szCs w:val="24"/>
        </w:rPr>
        <w:t>, jednatel</w:t>
      </w:r>
      <w:r w:rsidR="00AF1B51" w:rsidRPr="003F4D14">
        <w:rPr>
          <w:sz w:val="24"/>
          <w:szCs w:val="24"/>
        </w:rPr>
        <w:t xml:space="preserve"> </w:t>
      </w:r>
    </w:p>
    <w:p w14:paraId="4DF0A7C8" w14:textId="77777777" w:rsidR="00AF1B51" w:rsidRPr="003F4D14" w:rsidRDefault="00AF1B51" w:rsidP="003E1A05">
      <w:pPr>
        <w:spacing w:after="0"/>
        <w:rPr>
          <w:sz w:val="24"/>
          <w:szCs w:val="24"/>
        </w:rPr>
      </w:pPr>
      <w:r w:rsidRPr="003F4D14">
        <w:rPr>
          <w:sz w:val="24"/>
          <w:szCs w:val="24"/>
        </w:rPr>
        <w:t xml:space="preserve">(dále jen „zhotovitel“) </w:t>
      </w:r>
    </w:p>
    <w:p w14:paraId="246170C2" w14:textId="77777777" w:rsidR="00AF1B51" w:rsidRPr="00AE6484" w:rsidRDefault="00AF1B51" w:rsidP="003E1A05">
      <w:pPr>
        <w:spacing w:after="0"/>
        <w:rPr>
          <w:sz w:val="24"/>
          <w:szCs w:val="24"/>
        </w:rPr>
      </w:pPr>
    </w:p>
    <w:p w14:paraId="492F98CB" w14:textId="77777777" w:rsidR="0029213E" w:rsidRDefault="0029213E" w:rsidP="00AF1B51">
      <w:pPr>
        <w:spacing w:after="0"/>
        <w:jc w:val="center"/>
        <w:rPr>
          <w:b/>
          <w:sz w:val="24"/>
          <w:szCs w:val="24"/>
        </w:rPr>
      </w:pPr>
    </w:p>
    <w:p w14:paraId="4205872D" w14:textId="77777777" w:rsidR="00AF1B51" w:rsidRPr="00AE6484" w:rsidRDefault="00A7275A" w:rsidP="00AF1B51">
      <w:pPr>
        <w:spacing w:after="0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 xml:space="preserve">Článek </w:t>
      </w:r>
      <w:r w:rsidR="00AF1B51" w:rsidRPr="00AE6484">
        <w:rPr>
          <w:b/>
          <w:sz w:val="24"/>
          <w:szCs w:val="24"/>
        </w:rPr>
        <w:t>I.</w:t>
      </w:r>
    </w:p>
    <w:p w14:paraId="691FA49C" w14:textId="77777777" w:rsidR="00AF1B51" w:rsidRPr="00AE6484" w:rsidRDefault="00AF1B51" w:rsidP="00AF1B51">
      <w:pPr>
        <w:spacing w:after="0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 xml:space="preserve">Předmět smlouvy </w:t>
      </w:r>
      <w:r w:rsidR="00E41932" w:rsidRPr="00AE6484">
        <w:rPr>
          <w:b/>
          <w:sz w:val="24"/>
          <w:szCs w:val="24"/>
        </w:rPr>
        <w:t xml:space="preserve"> </w:t>
      </w:r>
    </w:p>
    <w:p w14:paraId="7DFAD7A6" w14:textId="77777777" w:rsidR="00E41932" w:rsidRPr="00AE6484" w:rsidRDefault="00E41932" w:rsidP="003F4D14">
      <w:pPr>
        <w:spacing w:after="0"/>
        <w:rPr>
          <w:sz w:val="24"/>
          <w:szCs w:val="24"/>
        </w:rPr>
      </w:pPr>
      <w:r w:rsidRPr="00AE6484">
        <w:rPr>
          <w:sz w:val="24"/>
          <w:szCs w:val="24"/>
        </w:rPr>
        <w:t>Předmětem smlouvy o dílo je</w:t>
      </w:r>
      <w:r w:rsidR="00104E25" w:rsidRPr="00AE6484">
        <w:rPr>
          <w:sz w:val="24"/>
          <w:szCs w:val="24"/>
        </w:rPr>
        <w:t xml:space="preserve"> </w:t>
      </w:r>
      <w:r w:rsidR="003F4D14">
        <w:rPr>
          <w:sz w:val="24"/>
          <w:szCs w:val="24"/>
        </w:rPr>
        <w:t xml:space="preserve">výměna stmívačů </w:t>
      </w:r>
      <w:r w:rsidR="004579EB">
        <w:rPr>
          <w:sz w:val="24"/>
          <w:szCs w:val="24"/>
        </w:rPr>
        <w:t>v hlavní rozvodně HaDivadla.</w:t>
      </w:r>
      <w:r w:rsidR="004A157B">
        <w:rPr>
          <w:sz w:val="24"/>
          <w:szCs w:val="24"/>
        </w:rPr>
        <w:t xml:space="preserve"> Instalace nových stmívačů pro scénické osvětlení v HaDivadle a související úpravy.</w:t>
      </w:r>
      <w:r w:rsidR="003F4D14">
        <w:rPr>
          <w:sz w:val="24"/>
          <w:szCs w:val="24"/>
        </w:rPr>
        <w:t xml:space="preserve"> </w:t>
      </w:r>
    </w:p>
    <w:p w14:paraId="1B2FF97D" w14:textId="77777777" w:rsidR="00A7275A" w:rsidRPr="00AE6484" w:rsidRDefault="00A7275A" w:rsidP="00E41932">
      <w:pPr>
        <w:spacing w:after="0"/>
        <w:rPr>
          <w:sz w:val="24"/>
          <w:szCs w:val="24"/>
        </w:rPr>
      </w:pPr>
    </w:p>
    <w:p w14:paraId="1A82DF65" w14:textId="77777777" w:rsidR="0029213E" w:rsidRDefault="0029213E" w:rsidP="00515672">
      <w:pPr>
        <w:spacing w:after="0"/>
        <w:jc w:val="center"/>
        <w:rPr>
          <w:b/>
          <w:sz w:val="24"/>
          <w:szCs w:val="24"/>
        </w:rPr>
      </w:pPr>
    </w:p>
    <w:p w14:paraId="29C0D4E6" w14:textId="77777777" w:rsidR="00515672" w:rsidRPr="00AE6484" w:rsidRDefault="004A157B" w:rsidP="005156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  <w:r w:rsidR="00515672" w:rsidRPr="00AE6484">
        <w:rPr>
          <w:b/>
          <w:sz w:val="24"/>
          <w:szCs w:val="24"/>
        </w:rPr>
        <w:t>I.</w:t>
      </w:r>
    </w:p>
    <w:p w14:paraId="65B43FAA" w14:textId="77777777" w:rsidR="00515672" w:rsidRPr="00AE6484" w:rsidRDefault="00515672" w:rsidP="00515672">
      <w:pPr>
        <w:spacing w:after="0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 xml:space="preserve">Cena a platební podmínky </w:t>
      </w:r>
      <w:r w:rsidR="003D6FA4" w:rsidRPr="00AE6484">
        <w:rPr>
          <w:b/>
          <w:sz w:val="24"/>
          <w:szCs w:val="24"/>
        </w:rPr>
        <w:t xml:space="preserve"> </w:t>
      </w:r>
    </w:p>
    <w:p w14:paraId="4EFB3ADE" w14:textId="77777777" w:rsidR="003D6FA4" w:rsidRPr="00AE6484" w:rsidRDefault="003D6FA4" w:rsidP="000531DE">
      <w:pPr>
        <w:pStyle w:val="ListParagraph"/>
        <w:numPr>
          <w:ilvl w:val="0"/>
          <w:numId w:val="4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>Objednatel se zavazuje zaplatit zhotoviteli sjednanou cenu</w:t>
      </w:r>
      <w:r w:rsidR="002A53DC">
        <w:rPr>
          <w:sz w:val="24"/>
          <w:szCs w:val="24"/>
        </w:rPr>
        <w:t xml:space="preserve"> </w:t>
      </w:r>
      <w:r w:rsidR="004A157B">
        <w:rPr>
          <w:b/>
          <w:sz w:val="24"/>
          <w:szCs w:val="24"/>
        </w:rPr>
        <w:t>553 091,-</w:t>
      </w:r>
      <w:r w:rsidR="002A53DC">
        <w:rPr>
          <w:sz w:val="24"/>
          <w:szCs w:val="24"/>
        </w:rPr>
        <w:t xml:space="preserve"> Kč (slovy </w:t>
      </w:r>
      <w:r w:rsidR="004A157B">
        <w:rPr>
          <w:sz w:val="24"/>
          <w:szCs w:val="24"/>
        </w:rPr>
        <w:t xml:space="preserve">pět set padesát tři tisíce devadesát jedna </w:t>
      </w:r>
      <w:r w:rsidR="002A53DC">
        <w:rPr>
          <w:sz w:val="24"/>
          <w:szCs w:val="24"/>
        </w:rPr>
        <w:t>korun</w:t>
      </w:r>
      <w:r w:rsidR="004A157B">
        <w:rPr>
          <w:sz w:val="24"/>
          <w:szCs w:val="24"/>
        </w:rPr>
        <w:t>a</w:t>
      </w:r>
      <w:r w:rsidR="002A53DC">
        <w:rPr>
          <w:sz w:val="24"/>
          <w:szCs w:val="24"/>
        </w:rPr>
        <w:t>) vč. DPH.</w:t>
      </w:r>
    </w:p>
    <w:p w14:paraId="170E35E3" w14:textId="77777777" w:rsidR="00515672" w:rsidRDefault="00515672" w:rsidP="002A53DC">
      <w:pPr>
        <w:spacing w:after="0"/>
        <w:jc w:val="both"/>
        <w:rPr>
          <w:b/>
          <w:sz w:val="24"/>
          <w:szCs w:val="24"/>
        </w:rPr>
      </w:pPr>
    </w:p>
    <w:tbl>
      <w:tblPr>
        <w:tblW w:w="1056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567"/>
        <w:gridCol w:w="3260"/>
        <w:gridCol w:w="567"/>
        <w:gridCol w:w="709"/>
        <w:gridCol w:w="1843"/>
        <w:gridCol w:w="1778"/>
      </w:tblGrid>
      <w:tr w:rsidR="005A2B35" w:rsidRPr="00AE6484" w14:paraId="3F765C7B" w14:textId="77777777" w:rsidTr="003F405C">
        <w:trPr>
          <w:trHeight w:val="582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35F3C6" w14:textId="77777777" w:rsidR="005A2B35" w:rsidRPr="005F42D0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proofErr w:type="spellStart"/>
            <w:r w:rsidRPr="005F42D0">
              <w:rPr>
                <w:rFonts w:asciiTheme="minorHAnsi" w:hAnsiTheme="minorHAnsi"/>
                <w:bCs/>
                <w:i/>
              </w:rPr>
              <w:t>poř</w:t>
            </w:r>
            <w:proofErr w:type="spellEnd"/>
            <w:r w:rsidRPr="005F42D0">
              <w:rPr>
                <w:rFonts w:asciiTheme="minorHAnsi" w:hAnsiTheme="minorHAnsi"/>
                <w:bCs/>
                <w:i/>
              </w:rPr>
              <w:t>. číslo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D5B026" w14:textId="77777777" w:rsidR="005A2B35" w:rsidRPr="005F42D0" w:rsidRDefault="003F405C" w:rsidP="00515672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>kategorie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D364A5" w14:textId="77777777" w:rsidR="005A2B35" w:rsidRPr="005F42D0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>název položek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C252" w14:textId="77777777" w:rsidR="005A2B35" w:rsidRPr="005F42D0" w:rsidRDefault="003F405C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>m. j.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75FE" w14:textId="77777777" w:rsidR="005A2B35" w:rsidRPr="005F42D0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>počet ks/m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625F92" w14:textId="77777777" w:rsidR="005A2B35" w:rsidRPr="005F42D0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 xml:space="preserve">cena/ks bez </w:t>
            </w:r>
            <w:r w:rsidR="005A2B35" w:rsidRPr="005F42D0">
              <w:rPr>
                <w:rFonts w:asciiTheme="minorHAnsi" w:hAnsiTheme="minorHAnsi"/>
                <w:bCs/>
                <w:i/>
              </w:rPr>
              <w:t>DPH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F95D1F" w14:textId="77777777" w:rsidR="005A2B35" w:rsidRPr="005F42D0" w:rsidRDefault="003F405C" w:rsidP="002A7747">
            <w:pPr>
              <w:pStyle w:val="Obsahtabulky"/>
              <w:jc w:val="center"/>
              <w:rPr>
                <w:rFonts w:asciiTheme="minorHAnsi" w:hAnsiTheme="minorHAnsi"/>
                <w:bCs/>
                <w:i/>
              </w:rPr>
            </w:pPr>
            <w:r w:rsidRPr="005F42D0">
              <w:rPr>
                <w:rFonts w:asciiTheme="minorHAnsi" w:hAnsiTheme="minorHAnsi"/>
                <w:bCs/>
                <w:i/>
              </w:rPr>
              <w:t>c</w:t>
            </w:r>
            <w:r w:rsidR="005A2B35" w:rsidRPr="005F42D0">
              <w:rPr>
                <w:rFonts w:asciiTheme="minorHAnsi" w:hAnsiTheme="minorHAnsi"/>
                <w:bCs/>
                <w:i/>
              </w:rPr>
              <w:t xml:space="preserve">ena celkem </w:t>
            </w:r>
            <w:r w:rsidRPr="005F42D0">
              <w:rPr>
                <w:rFonts w:asciiTheme="minorHAnsi" w:hAnsiTheme="minorHAnsi"/>
                <w:bCs/>
                <w:i/>
              </w:rPr>
              <w:t>bez</w:t>
            </w:r>
            <w:r w:rsidR="005A2B35" w:rsidRPr="005F42D0">
              <w:rPr>
                <w:rFonts w:asciiTheme="minorHAnsi" w:hAnsiTheme="minorHAnsi"/>
                <w:bCs/>
                <w:i/>
              </w:rPr>
              <w:t xml:space="preserve"> DPH </w:t>
            </w:r>
          </w:p>
        </w:tc>
      </w:tr>
      <w:tr w:rsidR="005A2B35" w:rsidRPr="00AE6484" w14:paraId="0FB2BA15" w14:textId="77777777" w:rsidTr="003F405C">
        <w:trPr>
          <w:trHeight w:val="387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AC6BC04" w14:textId="77777777" w:rsidR="005A2B35" w:rsidRPr="00AE6484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527BD6B" w14:textId="77777777" w:rsidR="005A2B35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dodávka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9A9528" w14:textId="77777777" w:rsidR="005A2B35" w:rsidRPr="003F405C" w:rsidRDefault="001E2567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rozvaděč regulovaných okruhů,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stmívací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jednotky formou zásuvných modulů, systém zpětné diagnostiky a vzdálené administrace, 48x 2,3kW ovládání plně digitální řídící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jednotkou, 2x digitální vstup DMX 512 (připojení na svorkovnici), ethernet port RJ-45, 2 analogové výstupy, 16 analogových vstupů, možnost uložení vlastních pamětí, spouštění předvolených scén přes externí tlačítkové stanice, jištění C10 A (2,3 kW) nebo C13 A/2 (5kW), zásuvné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stmívací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moduly s pasivním i aktivním chlazením,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stmívací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moduly pro zátěž 2x 2,3 kW a 1x5 kW, spínací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releové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moduly pro zátěž 2x 2,3kW, </w:t>
            </w:r>
            <w:r w:rsidR="002265CF">
              <w:rPr>
                <w:rFonts w:asciiTheme="minorHAnsi" w:hAnsiTheme="minorHAnsi"/>
                <w:bCs/>
                <w:sz w:val="20"/>
                <w:szCs w:val="20"/>
              </w:rPr>
              <w:t>signalizační kontrolky IN1, IN2, OUT1, OUT2 na každém modulu, aktivní chlazení pomocí ventilátorů se signalizací výpadku napájení, komunikace přes ethernet, Indikace napětí všech fází na displeji, nastavení startovací adresy pro</w:t>
            </w:r>
            <w:r w:rsidR="00B926B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265CF">
              <w:rPr>
                <w:rFonts w:asciiTheme="minorHAnsi" w:hAnsiTheme="minorHAnsi"/>
                <w:bCs/>
                <w:sz w:val="20"/>
                <w:szCs w:val="20"/>
              </w:rPr>
              <w:t xml:space="preserve">DMX port A i B, přiřazení jakékoliv adresy DMX kterémukoliv stmívači (PATCH), 8 křivek převodních charakteristik, nastavení předžhavení (PREHEAT) stmívače 0-10%, nastavení maximálního napětí stmívače 90-100%, natavení doby odezvy (response </w:t>
            </w:r>
            <w:proofErr w:type="spellStart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>time</w:t>
            </w:r>
            <w:proofErr w:type="spellEnd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 xml:space="preserve">) 30 </w:t>
            </w:r>
            <w:proofErr w:type="spellStart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>ms</w:t>
            </w:r>
            <w:proofErr w:type="spellEnd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 xml:space="preserve">, 100 </w:t>
            </w:r>
            <w:proofErr w:type="spellStart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>ms</w:t>
            </w:r>
            <w:proofErr w:type="spellEnd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 xml:space="preserve">, 300 </w:t>
            </w:r>
            <w:proofErr w:type="spellStart"/>
            <w:r w:rsidR="002265CF">
              <w:rPr>
                <w:rFonts w:asciiTheme="minorHAnsi" w:hAnsiTheme="minorHAnsi"/>
                <w:bCs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C692" w14:textId="77777777" w:rsidR="005A2B35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ks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9ADF" w14:textId="77777777" w:rsidR="005A2B35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00999" w14:textId="77777777" w:rsidR="005A2B35" w:rsidRPr="00AE6484" w:rsidRDefault="00B926B6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195 000,00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ECE8FC" w14:textId="77777777" w:rsidR="005A2B35" w:rsidRPr="00AE6484" w:rsidRDefault="00B926B6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390 000,00</w:t>
            </w:r>
          </w:p>
        </w:tc>
      </w:tr>
      <w:tr w:rsidR="005A2B35" w:rsidRPr="00AE6484" w14:paraId="79C4B88A" w14:textId="77777777" w:rsidTr="003F405C">
        <w:trPr>
          <w:trHeight w:val="193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6996363" w14:textId="77777777" w:rsidR="005A2B35" w:rsidRPr="00AE6484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586A9CD" w14:textId="77777777" w:rsidR="005A2B35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dodávka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2CF956" w14:textId="77777777" w:rsidR="005A2B35" w:rsidRPr="003F405C" w:rsidRDefault="00B926B6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releový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modul 2 x 2,3kW pro změnu obvodu z regulovaného na spínaný (trvalé napájení přes spínací prvek spouštěné osvětlovacím pultem)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263F" w14:textId="77777777" w:rsidR="005A2B35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F5BC" w14:textId="77777777" w:rsidR="005A2B35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4105A3" w14:textId="77777777" w:rsidR="005A2B35" w:rsidRPr="00AE6484" w:rsidRDefault="00B926B6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4 000,00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821DF9" w14:textId="77777777" w:rsidR="005A2B35" w:rsidRPr="00AE6484" w:rsidRDefault="00B926B6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16 000,00</w:t>
            </w:r>
          </w:p>
        </w:tc>
      </w:tr>
      <w:tr w:rsidR="003F405C" w:rsidRPr="00AE6484" w14:paraId="72FEEA25" w14:textId="77777777" w:rsidTr="003F405C">
        <w:trPr>
          <w:trHeight w:val="193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AE8734F" w14:textId="77777777" w:rsidR="003F405C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29C43D7" w14:textId="77777777" w:rsidR="003F405C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montáž 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E3540B" w14:textId="77777777" w:rsidR="003F405C" w:rsidRPr="003F405C" w:rsidRDefault="00743A00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demontáž a likvidace stávajícího zařízení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E1AC" w14:textId="77777777" w:rsidR="003F405C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3564" w14:textId="77777777" w:rsidR="003F405C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E5EFC2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6 500,00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2BA252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6 500,00</w:t>
            </w:r>
          </w:p>
        </w:tc>
      </w:tr>
      <w:tr w:rsidR="003F405C" w:rsidRPr="00AE6484" w14:paraId="4A313B8D" w14:textId="77777777" w:rsidTr="003F405C">
        <w:trPr>
          <w:trHeight w:val="193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8697CC9" w14:textId="77777777" w:rsidR="003F405C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1E501DD" w14:textId="77777777" w:rsidR="003F405C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montáž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8542C5" w14:textId="77777777" w:rsidR="003F405C" w:rsidRPr="003F405C" w:rsidRDefault="00743A00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instalace nových rozvaděčů včetně potřebného materiálu (kabeláž, spojky apod.)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3DFB" w14:textId="77777777" w:rsidR="003F405C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9ABC9" w14:textId="77777777" w:rsidR="003F405C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A0238C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22 000,00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80906B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22 000,00</w:t>
            </w:r>
          </w:p>
        </w:tc>
      </w:tr>
      <w:tr w:rsidR="003F405C" w:rsidRPr="00AE6484" w14:paraId="7FDD252D" w14:textId="77777777" w:rsidTr="0029213E">
        <w:trPr>
          <w:trHeight w:val="193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2" w:space="0" w:color="000000"/>
            </w:tcBorders>
          </w:tcPr>
          <w:p w14:paraId="5DC67287" w14:textId="77777777" w:rsidR="003F405C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14:paraId="21248ADF" w14:textId="77777777" w:rsidR="003F405C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montáž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1F06116" w14:textId="77777777" w:rsidR="003F405C" w:rsidRPr="003F405C" w:rsidRDefault="00743A00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instalace datové komunikační linky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DC934D3" w14:textId="77777777" w:rsidR="003F405C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AFC6675" w14:textId="77777777" w:rsidR="003F405C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7FF36E3E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3 000,00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8D93543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3 000,00</w:t>
            </w:r>
          </w:p>
        </w:tc>
      </w:tr>
      <w:tr w:rsidR="003F405C" w:rsidRPr="00AE6484" w14:paraId="64A576A9" w14:textId="77777777" w:rsidTr="0029213E">
        <w:trPr>
          <w:trHeight w:val="19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E82762" w14:textId="77777777" w:rsidR="003F405C" w:rsidRDefault="003F405C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3BB425" w14:textId="77777777" w:rsidR="003F405C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instalace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7AA53D" w14:textId="77777777" w:rsidR="003F405C" w:rsidRPr="003F405C" w:rsidRDefault="00743A00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výměna ovládacích a signalizačních prvků pro nahazování rozvaděčů v kabině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21FF08" w14:textId="77777777" w:rsidR="003F405C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41C900" w14:textId="77777777" w:rsidR="003F405C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C8B879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1 300,00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59F1FF" w14:textId="77777777" w:rsidR="003F405C" w:rsidRPr="00AE6484" w:rsidRDefault="00743A00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1 300,00</w:t>
            </w:r>
          </w:p>
        </w:tc>
      </w:tr>
      <w:tr w:rsidR="004A157B" w:rsidRPr="00AE6484" w14:paraId="3082C2E0" w14:textId="77777777" w:rsidTr="0029213E">
        <w:trPr>
          <w:trHeight w:val="19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C625FC" w14:textId="77777777" w:rsidR="004A157B" w:rsidRDefault="004A157B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C004C" w14:textId="77777777" w:rsidR="004A157B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instalace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9455F4" w14:textId="77777777" w:rsidR="004A157B" w:rsidRPr="003F405C" w:rsidRDefault="00743A00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doplnění vzdáleného spínání stmívačů v kulisárně a napojení na </w:t>
            </w:r>
            <w:r w:rsidR="00A65C11">
              <w:rPr>
                <w:rFonts w:asciiTheme="minorHAnsi" w:hAnsiTheme="minorHAnsi"/>
                <w:bCs/>
                <w:sz w:val="20"/>
                <w:szCs w:val="20"/>
              </w:rPr>
              <w:t>ovládání z osvětlovací kabiny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B22C28" w14:textId="77777777" w:rsidR="004A157B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54F56A" w14:textId="77777777" w:rsidR="004A157B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57B928" w14:textId="77777777" w:rsidR="004A157B" w:rsidRPr="00AE6484" w:rsidRDefault="00A65C11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2 800,00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66D840" w14:textId="77777777" w:rsidR="004A157B" w:rsidRPr="00AE6484" w:rsidRDefault="00A65C11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2 800,00</w:t>
            </w:r>
          </w:p>
        </w:tc>
      </w:tr>
      <w:tr w:rsidR="004A157B" w:rsidRPr="00AE6484" w14:paraId="2DFAD6F2" w14:textId="77777777" w:rsidTr="0029213E">
        <w:trPr>
          <w:trHeight w:val="193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7AEAFC" w14:textId="77777777" w:rsidR="004A157B" w:rsidRDefault="004A157B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9596B2" w14:textId="77777777" w:rsidR="004A157B" w:rsidRPr="00AE6484" w:rsidRDefault="001E2567" w:rsidP="00515672">
            <w:pPr>
              <w:pStyle w:val="Obsahtabulky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instalace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C2F9A4" w14:textId="77777777" w:rsidR="004A157B" w:rsidRPr="003F405C" w:rsidRDefault="00A65C11" w:rsidP="003F405C">
            <w:pPr>
              <w:pStyle w:val="Obsahtabulky"/>
              <w:snapToGrid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instalace druhého samostatného jištění pro rozvaděče RS1 a RS2 do hlavního rozvaděče (jištění 100A na rozvaděč) instalace separátních napájecích kabelů z hlavního rozvaděče do rozvaděčů RS1 a RS2 napájení bude provedeno v soustavě TN-S15 500,00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EFCD4B" w14:textId="77777777" w:rsidR="004A157B" w:rsidRPr="00AE6484" w:rsidRDefault="001E2567" w:rsidP="00AE6484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A35903" w14:textId="77777777" w:rsidR="004A157B" w:rsidRPr="00AE6484" w:rsidRDefault="001E2567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9AACB7" w14:textId="77777777" w:rsidR="004A157B" w:rsidRPr="00AE6484" w:rsidRDefault="00A65C11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15 500,00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E0E695" w14:textId="77777777" w:rsidR="004A157B" w:rsidRPr="00AE6484" w:rsidRDefault="00A65C11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15 500,00</w:t>
            </w:r>
          </w:p>
        </w:tc>
      </w:tr>
      <w:tr w:rsidR="005A2B35" w:rsidRPr="00AE6484" w14:paraId="3CA30D39" w14:textId="77777777" w:rsidTr="0029213E">
        <w:trPr>
          <w:trHeight w:val="193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0B14BC49" w14:textId="77777777" w:rsidR="005A2B35" w:rsidRPr="00DB4B1D" w:rsidRDefault="00DB4B1D" w:rsidP="00846F60">
            <w:pPr>
              <w:pStyle w:val="Obsahtabulky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cena celkem bez DPH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588031A" w14:textId="77777777" w:rsidR="005A2B35" w:rsidRPr="00DB4B1D" w:rsidRDefault="005A2B35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EBDA55" w14:textId="77777777" w:rsidR="005A2B35" w:rsidRPr="00DB4B1D" w:rsidRDefault="005A2B35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23B936" w14:textId="77777777" w:rsidR="005A2B35" w:rsidRPr="00DB4B1D" w:rsidRDefault="005A2B35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85074A" w14:textId="77777777" w:rsidR="005A2B35" w:rsidRPr="00DB4B1D" w:rsidRDefault="005A2B35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07755DFB" w14:textId="77777777" w:rsidR="005A2B35" w:rsidRPr="00DB4B1D" w:rsidRDefault="00A65C11" w:rsidP="00846F60">
            <w:pPr>
              <w:pStyle w:val="Obsahtabulky"/>
              <w:snapToGrid w:val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457 100</w:t>
            </w:r>
            <w:r w:rsidR="0029213E">
              <w:rPr>
                <w:rFonts w:asciiTheme="minorHAnsi" w:hAnsiTheme="minorHAnsi"/>
                <w:bCs/>
              </w:rPr>
              <w:t xml:space="preserve"> Kč</w:t>
            </w:r>
          </w:p>
        </w:tc>
      </w:tr>
      <w:tr w:rsidR="00DB4B1D" w:rsidRPr="00AE6484" w14:paraId="61924E08" w14:textId="77777777" w:rsidTr="00415883">
        <w:trPr>
          <w:trHeight w:val="193"/>
          <w:jc w:val="center"/>
        </w:trPr>
        <w:tc>
          <w:tcPr>
            <w:tcW w:w="2409" w:type="dxa"/>
            <w:gridSpan w:val="3"/>
          </w:tcPr>
          <w:p w14:paraId="563F0F89" w14:textId="77777777" w:rsidR="00DB4B1D" w:rsidRPr="00DB4B1D" w:rsidRDefault="00DB4B1D" w:rsidP="00846F60">
            <w:pPr>
              <w:pStyle w:val="Obsahtabulky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DPH 21%</w:t>
            </w:r>
          </w:p>
        </w:tc>
        <w:tc>
          <w:tcPr>
            <w:tcW w:w="3260" w:type="dxa"/>
          </w:tcPr>
          <w:p w14:paraId="4C43CDB7" w14:textId="77777777" w:rsidR="00DB4B1D" w:rsidRPr="00DB4B1D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</w:tcPr>
          <w:p w14:paraId="6037C23D" w14:textId="77777777" w:rsidR="00DB4B1D" w:rsidRPr="00DB4B1D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09" w:type="dxa"/>
          </w:tcPr>
          <w:p w14:paraId="5623996B" w14:textId="77777777" w:rsidR="00DB4B1D" w:rsidRPr="00DB4B1D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14:paraId="2EC16FFE" w14:textId="77777777" w:rsidR="00DB4B1D" w:rsidRPr="00DB4B1D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78" w:type="dxa"/>
            <w:vAlign w:val="center"/>
          </w:tcPr>
          <w:p w14:paraId="4DF2401C" w14:textId="77777777" w:rsidR="00DB4B1D" w:rsidRPr="00DB4B1D" w:rsidRDefault="00A65C11" w:rsidP="00846F60">
            <w:pPr>
              <w:pStyle w:val="Obsahtabulky"/>
              <w:snapToGrid w:val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95 991</w:t>
            </w:r>
            <w:r w:rsidR="0029213E">
              <w:rPr>
                <w:rFonts w:asciiTheme="minorHAnsi" w:hAnsiTheme="minorHAnsi"/>
                <w:bCs/>
              </w:rPr>
              <w:t xml:space="preserve"> Kč</w:t>
            </w:r>
          </w:p>
        </w:tc>
      </w:tr>
      <w:tr w:rsidR="00DB4B1D" w:rsidRPr="0029213E" w14:paraId="678C9393" w14:textId="77777777" w:rsidTr="00415883">
        <w:trPr>
          <w:trHeight w:val="193"/>
          <w:jc w:val="center"/>
        </w:trPr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44C87D45" w14:textId="77777777" w:rsidR="00DB4B1D" w:rsidRPr="00415883" w:rsidRDefault="00DB4B1D" w:rsidP="00846F60">
            <w:pPr>
              <w:pStyle w:val="Obsahtabulky"/>
              <w:snapToGrid w:val="0"/>
              <w:rPr>
                <w:rFonts w:asciiTheme="minorHAnsi" w:hAnsiTheme="minorHAnsi"/>
                <w:bCs/>
                <w:sz w:val="28"/>
                <w:szCs w:val="28"/>
              </w:rPr>
            </w:pPr>
            <w:r w:rsidRPr="00415883">
              <w:rPr>
                <w:rFonts w:asciiTheme="minorHAnsi" w:hAnsiTheme="minorHAnsi"/>
                <w:bCs/>
                <w:sz w:val="28"/>
                <w:szCs w:val="28"/>
              </w:rPr>
              <w:t>cena celkem s DPH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7A9D47" w14:textId="77777777" w:rsidR="00DB4B1D" w:rsidRPr="00415883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F08523" w14:textId="77777777" w:rsidR="00DB4B1D" w:rsidRPr="00415883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30491D" w14:textId="77777777" w:rsidR="00DB4B1D" w:rsidRPr="00415883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719642" w14:textId="77777777" w:rsidR="00DB4B1D" w:rsidRPr="00415883" w:rsidRDefault="00DB4B1D" w:rsidP="002A7747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6D9E28B5" w14:textId="77777777" w:rsidR="00DB4B1D" w:rsidRPr="00415883" w:rsidRDefault="00A65C11" w:rsidP="00846F60">
            <w:pPr>
              <w:pStyle w:val="Obsahtabulky"/>
              <w:snapToGrid w:val="0"/>
              <w:jc w:val="righ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553 091</w:t>
            </w:r>
            <w:r w:rsidR="0029213E" w:rsidRPr="00415883">
              <w:rPr>
                <w:rFonts w:asciiTheme="minorHAnsi" w:hAnsiTheme="minorHAnsi"/>
                <w:bCs/>
                <w:sz w:val="28"/>
                <w:szCs w:val="28"/>
              </w:rPr>
              <w:t xml:space="preserve"> Kč</w:t>
            </w:r>
          </w:p>
        </w:tc>
      </w:tr>
    </w:tbl>
    <w:p w14:paraId="170656EE" w14:textId="77777777" w:rsidR="00846F60" w:rsidRPr="00846F60" w:rsidRDefault="00846F60" w:rsidP="00515672">
      <w:pPr>
        <w:spacing w:after="0"/>
        <w:rPr>
          <w:b/>
          <w:sz w:val="28"/>
          <w:szCs w:val="28"/>
        </w:rPr>
      </w:pPr>
    </w:p>
    <w:p w14:paraId="6941AAD8" w14:textId="77777777" w:rsidR="003D6FA4" w:rsidRPr="00AE6484" w:rsidRDefault="003D6FA4" w:rsidP="000531DE">
      <w:pPr>
        <w:pStyle w:val="ListParagraph"/>
        <w:numPr>
          <w:ilvl w:val="0"/>
          <w:numId w:val="4"/>
        </w:numPr>
        <w:spacing w:after="0"/>
        <w:ind w:left="142" w:right="-426"/>
        <w:rPr>
          <w:sz w:val="24"/>
          <w:szCs w:val="24"/>
        </w:rPr>
      </w:pPr>
      <w:r w:rsidRPr="00AE6484">
        <w:rPr>
          <w:sz w:val="24"/>
          <w:szCs w:val="24"/>
        </w:rPr>
        <w:t xml:space="preserve">Dílčí i konečné vyúčtování provede zhotovitel formou daňového dokladu, který bude mít všechny náležitosti stanovené zákonem. Doba splatnosti </w:t>
      </w:r>
      <w:r w:rsidR="00AE6484">
        <w:rPr>
          <w:sz w:val="24"/>
          <w:szCs w:val="24"/>
        </w:rPr>
        <w:t xml:space="preserve">je </w:t>
      </w:r>
      <w:r w:rsidRPr="00AE6484">
        <w:rPr>
          <w:sz w:val="24"/>
          <w:szCs w:val="24"/>
        </w:rPr>
        <w:t>14 dnů od převzetí daňového dokladu.</w:t>
      </w:r>
    </w:p>
    <w:p w14:paraId="17441E20" w14:textId="77777777" w:rsidR="003D6FA4" w:rsidRPr="00AE6484" w:rsidRDefault="003D6FA4" w:rsidP="000531DE">
      <w:pPr>
        <w:pStyle w:val="ListParagraph"/>
        <w:numPr>
          <w:ilvl w:val="0"/>
          <w:numId w:val="4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 xml:space="preserve">Objednatel je povinen zaplatit dohodnutou cenu v řádném termínu splatnosti. </w:t>
      </w:r>
    </w:p>
    <w:p w14:paraId="2B447C8E" w14:textId="77777777" w:rsidR="0029213E" w:rsidRDefault="0029213E" w:rsidP="003D6FA4">
      <w:pPr>
        <w:spacing w:after="0"/>
        <w:jc w:val="center"/>
        <w:rPr>
          <w:b/>
          <w:sz w:val="24"/>
          <w:szCs w:val="24"/>
        </w:rPr>
      </w:pPr>
    </w:p>
    <w:p w14:paraId="7D6B1FA2" w14:textId="77777777" w:rsidR="007359CE" w:rsidRDefault="007359CE" w:rsidP="003D6FA4">
      <w:pPr>
        <w:spacing w:after="0"/>
        <w:jc w:val="center"/>
        <w:rPr>
          <w:b/>
          <w:sz w:val="24"/>
          <w:szCs w:val="24"/>
        </w:rPr>
      </w:pPr>
    </w:p>
    <w:p w14:paraId="11A99812" w14:textId="77777777" w:rsidR="007359CE" w:rsidRDefault="007359CE" w:rsidP="003D6FA4">
      <w:pPr>
        <w:spacing w:after="0"/>
        <w:jc w:val="center"/>
        <w:rPr>
          <w:b/>
          <w:sz w:val="24"/>
          <w:szCs w:val="24"/>
        </w:rPr>
      </w:pPr>
    </w:p>
    <w:p w14:paraId="323B94BA" w14:textId="77777777" w:rsidR="007359CE" w:rsidRDefault="007359CE" w:rsidP="003D6FA4">
      <w:pPr>
        <w:spacing w:after="0"/>
        <w:jc w:val="center"/>
        <w:rPr>
          <w:b/>
          <w:sz w:val="24"/>
          <w:szCs w:val="24"/>
        </w:rPr>
      </w:pPr>
    </w:p>
    <w:p w14:paraId="32C5612A" w14:textId="77777777" w:rsidR="003D6FA4" w:rsidRPr="00AE6484" w:rsidRDefault="003D6FA4" w:rsidP="003D6FA4">
      <w:pPr>
        <w:spacing w:after="0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Článek I</w:t>
      </w:r>
      <w:r w:rsidR="004A157B">
        <w:rPr>
          <w:b/>
          <w:sz w:val="24"/>
          <w:szCs w:val="24"/>
        </w:rPr>
        <w:t>II</w:t>
      </w:r>
      <w:r w:rsidRPr="00AE6484">
        <w:rPr>
          <w:b/>
          <w:sz w:val="24"/>
          <w:szCs w:val="24"/>
        </w:rPr>
        <w:t xml:space="preserve">. </w:t>
      </w:r>
    </w:p>
    <w:p w14:paraId="592D4792" w14:textId="77777777" w:rsidR="003D6FA4" w:rsidRPr="00AE6484" w:rsidRDefault="00A417EA" w:rsidP="003D6FA4">
      <w:pPr>
        <w:spacing w:after="0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Termín a místo plnění</w:t>
      </w:r>
    </w:p>
    <w:p w14:paraId="391F9889" w14:textId="77777777" w:rsidR="0029213E" w:rsidRDefault="003D6FA4" w:rsidP="000531DE">
      <w:pPr>
        <w:pStyle w:val="ListParagraph"/>
        <w:numPr>
          <w:ilvl w:val="0"/>
          <w:numId w:val="5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 xml:space="preserve">Zhotovitel se zavazuje splnit předmět této smlouvy </w:t>
      </w:r>
      <w:r w:rsidR="00AE6484">
        <w:rPr>
          <w:sz w:val="24"/>
          <w:szCs w:val="24"/>
        </w:rPr>
        <w:t>v termínu realizace</w:t>
      </w:r>
      <w:r w:rsidR="00E75586">
        <w:rPr>
          <w:sz w:val="24"/>
          <w:szCs w:val="24"/>
        </w:rPr>
        <w:t xml:space="preserve"> červenec – srpen 2017. Přesný termín bude specifikován ústní dohodou.</w:t>
      </w:r>
    </w:p>
    <w:p w14:paraId="0C2B9A36" w14:textId="77777777" w:rsidR="000531DE" w:rsidRDefault="000531DE" w:rsidP="000531DE">
      <w:pPr>
        <w:pStyle w:val="ListParagraph"/>
        <w:numPr>
          <w:ilvl w:val="0"/>
          <w:numId w:val="5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 xml:space="preserve">Místem plnění je </w:t>
      </w:r>
      <w:r w:rsidR="0029213E">
        <w:rPr>
          <w:sz w:val="24"/>
          <w:szCs w:val="24"/>
        </w:rPr>
        <w:t xml:space="preserve">Centrum experimentálního divadla, </w:t>
      </w:r>
      <w:r w:rsidR="007359CE">
        <w:rPr>
          <w:sz w:val="24"/>
          <w:szCs w:val="24"/>
        </w:rPr>
        <w:t>HaDivadlo, Alfa pasáž, Poštovská 8d, 602 00 Brno</w:t>
      </w:r>
      <w:r w:rsidRPr="00AE6484">
        <w:rPr>
          <w:sz w:val="24"/>
          <w:szCs w:val="24"/>
        </w:rPr>
        <w:t>.</w:t>
      </w:r>
      <w:r w:rsidR="00D84775" w:rsidRPr="00AE6484">
        <w:rPr>
          <w:sz w:val="24"/>
          <w:szCs w:val="24"/>
        </w:rPr>
        <w:t xml:space="preserve"> </w:t>
      </w:r>
    </w:p>
    <w:p w14:paraId="7FC7C64E" w14:textId="77777777" w:rsidR="007359CE" w:rsidRDefault="007359CE" w:rsidP="007359CE">
      <w:pPr>
        <w:pStyle w:val="ListParagraph"/>
        <w:spacing w:after="0"/>
        <w:jc w:val="center"/>
        <w:rPr>
          <w:b/>
          <w:sz w:val="24"/>
          <w:szCs w:val="24"/>
        </w:rPr>
      </w:pPr>
    </w:p>
    <w:p w14:paraId="2E0FA37C" w14:textId="77777777" w:rsidR="007359CE" w:rsidRPr="007359CE" w:rsidRDefault="007359CE" w:rsidP="007359CE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7359CE">
        <w:rPr>
          <w:b/>
          <w:sz w:val="24"/>
          <w:szCs w:val="24"/>
        </w:rPr>
        <w:t>Článek IV.</w:t>
      </w:r>
    </w:p>
    <w:p w14:paraId="28FF9D59" w14:textId="77777777" w:rsidR="007359CE" w:rsidRDefault="007359CE" w:rsidP="007359CE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7359CE">
        <w:rPr>
          <w:b/>
          <w:sz w:val="24"/>
          <w:szCs w:val="24"/>
        </w:rPr>
        <w:t>áruka</w:t>
      </w:r>
    </w:p>
    <w:p w14:paraId="714415E1" w14:textId="77777777" w:rsidR="007359CE" w:rsidRPr="007359CE" w:rsidRDefault="007359CE" w:rsidP="007359CE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Na předmět smlouvy se vztahuje záruka 24 měsíců a to na veškeré komponenty.</w:t>
      </w:r>
    </w:p>
    <w:p w14:paraId="5C083B91" w14:textId="77777777" w:rsidR="00D84775" w:rsidRPr="00AE6484" w:rsidRDefault="00D84775" w:rsidP="00D84775">
      <w:pPr>
        <w:spacing w:after="0"/>
        <w:ind w:left="-218"/>
        <w:rPr>
          <w:sz w:val="24"/>
          <w:szCs w:val="24"/>
        </w:rPr>
      </w:pPr>
    </w:p>
    <w:p w14:paraId="42E219FE" w14:textId="77777777" w:rsidR="00D84775" w:rsidRPr="00AE6484" w:rsidRDefault="00D84775" w:rsidP="00D84775">
      <w:pPr>
        <w:spacing w:after="0"/>
        <w:ind w:left="-218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Článek V.</w:t>
      </w:r>
    </w:p>
    <w:p w14:paraId="770C09D3" w14:textId="77777777" w:rsidR="00D84775" w:rsidRPr="00AE6484" w:rsidRDefault="00D84775" w:rsidP="00D84775">
      <w:pPr>
        <w:spacing w:after="0"/>
        <w:ind w:left="-218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Možnost odstoupení od smlouvy</w:t>
      </w:r>
    </w:p>
    <w:p w14:paraId="23E1DAB7" w14:textId="77777777" w:rsidR="00D84775" w:rsidRPr="00AE6484" w:rsidRDefault="00D84775" w:rsidP="005C0F4A">
      <w:pPr>
        <w:spacing w:after="0"/>
        <w:ind w:left="-142" w:right="-426" w:firstLine="208"/>
        <w:rPr>
          <w:b/>
          <w:sz w:val="24"/>
          <w:szCs w:val="24"/>
        </w:rPr>
      </w:pPr>
      <w:r w:rsidRPr="00AE6484">
        <w:rPr>
          <w:sz w:val="24"/>
          <w:szCs w:val="24"/>
        </w:rPr>
        <w:t>Jestliže jedna ze stran poruší některé z ustanovení této smlouvy, je druhá strana oprávněna</w:t>
      </w:r>
      <w:r w:rsidRPr="00AE6484">
        <w:rPr>
          <w:b/>
          <w:sz w:val="24"/>
          <w:szCs w:val="24"/>
        </w:rPr>
        <w:t xml:space="preserve"> </w:t>
      </w:r>
      <w:r w:rsidRPr="00AE6484">
        <w:rPr>
          <w:sz w:val="24"/>
          <w:szCs w:val="24"/>
        </w:rPr>
        <w:t>od smlouvy odstoupit.</w:t>
      </w:r>
    </w:p>
    <w:p w14:paraId="2A906A16" w14:textId="77777777" w:rsidR="00E672D8" w:rsidRDefault="00E672D8" w:rsidP="00D84775">
      <w:pPr>
        <w:spacing w:after="0"/>
        <w:ind w:left="-218"/>
        <w:jc w:val="center"/>
        <w:rPr>
          <w:b/>
          <w:sz w:val="24"/>
          <w:szCs w:val="24"/>
        </w:rPr>
      </w:pPr>
    </w:p>
    <w:p w14:paraId="01428C09" w14:textId="77777777" w:rsidR="00D84775" w:rsidRPr="00AE6484" w:rsidRDefault="00D84775" w:rsidP="00D84775">
      <w:pPr>
        <w:spacing w:after="0"/>
        <w:ind w:left="-218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Článek V</w:t>
      </w:r>
      <w:r w:rsidR="007359CE">
        <w:rPr>
          <w:b/>
          <w:sz w:val="24"/>
          <w:szCs w:val="24"/>
        </w:rPr>
        <w:t>I</w:t>
      </w:r>
      <w:r w:rsidRPr="00AE6484">
        <w:rPr>
          <w:b/>
          <w:sz w:val="24"/>
          <w:szCs w:val="24"/>
        </w:rPr>
        <w:t>.</w:t>
      </w:r>
    </w:p>
    <w:p w14:paraId="7102F807" w14:textId="77777777" w:rsidR="00D84775" w:rsidRPr="00AE6484" w:rsidRDefault="00D84775" w:rsidP="00D84775">
      <w:pPr>
        <w:spacing w:after="0"/>
        <w:ind w:left="-218"/>
        <w:jc w:val="center"/>
        <w:rPr>
          <w:b/>
          <w:sz w:val="24"/>
          <w:szCs w:val="24"/>
        </w:rPr>
      </w:pPr>
      <w:r w:rsidRPr="00AE6484">
        <w:rPr>
          <w:b/>
          <w:sz w:val="24"/>
          <w:szCs w:val="24"/>
        </w:rPr>
        <w:t>Závěrečná ustanovení</w:t>
      </w:r>
    </w:p>
    <w:p w14:paraId="19F21EAE" w14:textId="77777777" w:rsidR="00D84775" w:rsidRPr="00AE6484" w:rsidRDefault="00D84775" w:rsidP="00D84775">
      <w:pPr>
        <w:pStyle w:val="ListParagraph"/>
        <w:numPr>
          <w:ilvl w:val="0"/>
          <w:numId w:val="7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 xml:space="preserve">Práva a povinnosti, výslovně touto smlouvou neupravené, se řídí platnými právními </w:t>
      </w:r>
    </w:p>
    <w:p w14:paraId="788FBB12" w14:textId="77777777" w:rsidR="00D84775" w:rsidRPr="00AE6484" w:rsidRDefault="00D84775" w:rsidP="00D84775">
      <w:pPr>
        <w:spacing w:after="0"/>
        <w:ind w:left="-218" w:firstLine="218"/>
        <w:rPr>
          <w:sz w:val="24"/>
          <w:szCs w:val="24"/>
        </w:rPr>
      </w:pPr>
      <w:r w:rsidRPr="00AE6484">
        <w:rPr>
          <w:sz w:val="24"/>
          <w:szCs w:val="24"/>
        </w:rPr>
        <w:t xml:space="preserve">   předpisy a ustanoveními NOZ.</w:t>
      </w:r>
    </w:p>
    <w:p w14:paraId="3D0894C7" w14:textId="77777777" w:rsidR="00D84775" w:rsidRPr="00AE6484" w:rsidRDefault="00D84775" w:rsidP="00D84775">
      <w:pPr>
        <w:pStyle w:val="ListParagraph"/>
        <w:numPr>
          <w:ilvl w:val="0"/>
          <w:numId w:val="7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>Případné změny a doplňky této smlouvy jsou možné pouze formou písemného dodatku</w:t>
      </w:r>
      <w:r w:rsidR="008B5E22" w:rsidRPr="00AE6484">
        <w:rPr>
          <w:sz w:val="24"/>
          <w:szCs w:val="24"/>
        </w:rPr>
        <w:t>,</w:t>
      </w:r>
      <w:r w:rsidRPr="00AE6484">
        <w:rPr>
          <w:sz w:val="24"/>
          <w:szCs w:val="24"/>
        </w:rPr>
        <w:t xml:space="preserve"> se</w:t>
      </w:r>
    </w:p>
    <w:p w14:paraId="0D407E39" w14:textId="77777777" w:rsidR="00D84775" w:rsidRPr="00AE6484" w:rsidRDefault="00D84775" w:rsidP="00D84775">
      <w:pPr>
        <w:spacing w:after="0"/>
        <w:ind w:left="-218" w:firstLine="218"/>
        <w:rPr>
          <w:sz w:val="24"/>
          <w:szCs w:val="24"/>
        </w:rPr>
      </w:pPr>
      <w:r w:rsidRPr="00AE6484">
        <w:rPr>
          <w:sz w:val="24"/>
          <w:szCs w:val="24"/>
        </w:rPr>
        <w:t xml:space="preserve">   souhlasem obou smluvních stran.</w:t>
      </w:r>
    </w:p>
    <w:p w14:paraId="7E3701B5" w14:textId="77777777" w:rsidR="00D84775" w:rsidRPr="00AE6484" w:rsidRDefault="00D84775" w:rsidP="00D84775">
      <w:pPr>
        <w:pStyle w:val="ListParagraph"/>
        <w:numPr>
          <w:ilvl w:val="0"/>
          <w:numId w:val="7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>Ob</w:t>
      </w:r>
      <w:r w:rsidR="008B5E22" w:rsidRPr="00AE6484">
        <w:rPr>
          <w:sz w:val="24"/>
          <w:szCs w:val="24"/>
        </w:rPr>
        <w:t>ě strany prohlašují, že si</w:t>
      </w:r>
      <w:r w:rsidRPr="00AE6484">
        <w:rPr>
          <w:sz w:val="24"/>
          <w:szCs w:val="24"/>
        </w:rPr>
        <w:t xml:space="preserve"> smlouvu</w:t>
      </w:r>
      <w:r w:rsidR="008B5E22" w:rsidRPr="00AE6484">
        <w:rPr>
          <w:sz w:val="24"/>
          <w:szCs w:val="24"/>
        </w:rPr>
        <w:t xml:space="preserve"> o dílo</w:t>
      </w:r>
      <w:r w:rsidRPr="00AE6484">
        <w:rPr>
          <w:sz w:val="24"/>
          <w:szCs w:val="24"/>
        </w:rPr>
        <w:t xml:space="preserve"> sepsanou na základě svobodné vůle přečetly a  </w:t>
      </w:r>
    </w:p>
    <w:p w14:paraId="1F497504" w14:textId="77777777" w:rsidR="00D84775" w:rsidRPr="00AE6484" w:rsidRDefault="00D84775" w:rsidP="00D84775">
      <w:pPr>
        <w:spacing w:after="0"/>
        <w:ind w:left="-218" w:firstLine="218"/>
        <w:rPr>
          <w:sz w:val="24"/>
          <w:szCs w:val="24"/>
        </w:rPr>
      </w:pPr>
      <w:r w:rsidRPr="00AE6484">
        <w:rPr>
          <w:sz w:val="24"/>
          <w:szCs w:val="24"/>
        </w:rPr>
        <w:t xml:space="preserve">   s jejím obsahem souhlasí. Na důkaz toho připojují své podpisy. </w:t>
      </w:r>
    </w:p>
    <w:p w14:paraId="601AE275" w14:textId="77777777" w:rsidR="00D84775" w:rsidRPr="00AE6484" w:rsidRDefault="00D84775" w:rsidP="00D84775">
      <w:pPr>
        <w:pStyle w:val="ListParagraph"/>
        <w:numPr>
          <w:ilvl w:val="0"/>
          <w:numId w:val="7"/>
        </w:numPr>
        <w:spacing w:after="0"/>
        <w:ind w:left="142"/>
        <w:rPr>
          <w:sz w:val="24"/>
          <w:szCs w:val="24"/>
        </w:rPr>
      </w:pPr>
      <w:r w:rsidRPr="00AE6484">
        <w:rPr>
          <w:sz w:val="24"/>
          <w:szCs w:val="24"/>
        </w:rPr>
        <w:t>Smlouva je vyhotovena ve dvou stejnopisech, z nichž každá strana obdrží po jednom.</w:t>
      </w:r>
    </w:p>
    <w:p w14:paraId="026E91B4" w14:textId="77777777" w:rsidR="00D84775" w:rsidRDefault="00D84775" w:rsidP="00D84775">
      <w:pPr>
        <w:spacing w:after="0"/>
        <w:ind w:left="-218"/>
        <w:rPr>
          <w:sz w:val="24"/>
          <w:szCs w:val="24"/>
        </w:rPr>
      </w:pPr>
    </w:p>
    <w:p w14:paraId="66D848C8" w14:textId="77777777" w:rsidR="0029213E" w:rsidRDefault="0029213E" w:rsidP="00D84775">
      <w:pPr>
        <w:spacing w:after="0"/>
        <w:ind w:left="-218"/>
        <w:rPr>
          <w:sz w:val="24"/>
          <w:szCs w:val="24"/>
        </w:rPr>
      </w:pPr>
    </w:p>
    <w:p w14:paraId="126D08D0" w14:textId="77777777" w:rsidR="00D84775" w:rsidRPr="00AE6484" w:rsidRDefault="008B5E22" w:rsidP="008B5E22">
      <w:pPr>
        <w:spacing w:after="0"/>
        <w:ind w:left="-284"/>
        <w:rPr>
          <w:sz w:val="24"/>
          <w:szCs w:val="24"/>
        </w:rPr>
      </w:pPr>
      <w:r w:rsidRPr="00AE6484">
        <w:rPr>
          <w:sz w:val="24"/>
          <w:szCs w:val="24"/>
        </w:rPr>
        <w:t xml:space="preserve"> </w:t>
      </w:r>
      <w:r w:rsidR="005C0F4A" w:rsidRPr="00AE6484">
        <w:rPr>
          <w:sz w:val="24"/>
          <w:szCs w:val="24"/>
        </w:rPr>
        <w:t>V</w:t>
      </w:r>
      <w:r w:rsidR="0029213E">
        <w:rPr>
          <w:sz w:val="24"/>
          <w:szCs w:val="24"/>
        </w:rPr>
        <w:t> </w:t>
      </w:r>
      <w:r w:rsidR="00E75586">
        <w:rPr>
          <w:sz w:val="24"/>
          <w:szCs w:val="24"/>
        </w:rPr>
        <w:t>Brně</w:t>
      </w:r>
      <w:r w:rsidR="0029213E">
        <w:rPr>
          <w:sz w:val="24"/>
          <w:szCs w:val="24"/>
        </w:rPr>
        <w:t xml:space="preserve"> </w:t>
      </w:r>
      <w:r w:rsidR="00D84775" w:rsidRPr="00AE6484">
        <w:rPr>
          <w:sz w:val="24"/>
          <w:szCs w:val="24"/>
        </w:rPr>
        <w:t xml:space="preserve">dne </w:t>
      </w:r>
      <w:r w:rsidR="00E75586">
        <w:rPr>
          <w:sz w:val="24"/>
          <w:szCs w:val="24"/>
        </w:rPr>
        <w:t>9.5.2017</w:t>
      </w:r>
      <w:bookmarkStart w:id="0" w:name="_GoBack"/>
      <w:bookmarkEnd w:id="0"/>
      <w:r w:rsidR="00D84775" w:rsidRPr="00AE6484">
        <w:rPr>
          <w:sz w:val="24"/>
          <w:szCs w:val="24"/>
        </w:rPr>
        <w:t xml:space="preserve"> </w:t>
      </w:r>
      <w:r w:rsidR="00D84775" w:rsidRPr="00AE6484">
        <w:rPr>
          <w:sz w:val="24"/>
          <w:szCs w:val="24"/>
        </w:rPr>
        <w:tab/>
      </w:r>
      <w:r w:rsidR="00D84775" w:rsidRPr="00AE6484">
        <w:rPr>
          <w:sz w:val="24"/>
          <w:szCs w:val="24"/>
        </w:rPr>
        <w:tab/>
      </w:r>
      <w:r w:rsidR="00D84775" w:rsidRPr="00AE6484">
        <w:rPr>
          <w:sz w:val="24"/>
          <w:szCs w:val="24"/>
        </w:rPr>
        <w:tab/>
      </w:r>
      <w:r w:rsidR="00D84775" w:rsidRPr="00AE6484">
        <w:rPr>
          <w:sz w:val="24"/>
          <w:szCs w:val="24"/>
        </w:rPr>
        <w:tab/>
      </w:r>
      <w:r w:rsidR="00D84775" w:rsidRPr="00AE6484">
        <w:rPr>
          <w:sz w:val="24"/>
          <w:szCs w:val="24"/>
        </w:rPr>
        <w:tab/>
        <w:t xml:space="preserve">    </w:t>
      </w:r>
      <w:r w:rsidR="005C0F4A" w:rsidRPr="00AE6484">
        <w:rPr>
          <w:sz w:val="24"/>
          <w:szCs w:val="24"/>
        </w:rPr>
        <w:t xml:space="preserve">  </w:t>
      </w:r>
      <w:r w:rsidR="0029213E">
        <w:rPr>
          <w:sz w:val="24"/>
          <w:szCs w:val="24"/>
        </w:rPr>
        <w:tab/>
        <w:t xml:space="preserve">      </w:t>
      </w:r>
      <w:r w:rsidR="00D84775" w:rsidRPr="00AE6484">
        <w:rPr>
          <w:sz w:val="24"/>
          <w:szCs w:val="24"/>
        </w:rPr>
        <w:t xml:space="preserve">V Brně dne </w:t>
      </w:r>
      <w:r w:rsidR="00E75586">
        <w:rPr>
          <w:sz w:val="24"/>
          <w:szCs w:val="24"/>
        </w:rPr>
        <w:t>9.5.2017</w:t>
      </w:r>
    </w:p>
    <w:p w14:paraId="7BF7CA1B" w14:textId="77777777" w:rsidR="00D84775" w:rsidRDefault="00D84775" w:rsidP="00D84775">
      <w:pPr>
        <w:spacing w:after="0"/>
        <w:ind w:left="-218"/>
        <w:rPr>
          <w:sz w:val="24"/>
          <w:szCs w:val="24"/>
        </w:rPr>
      </w:pPr>
    </w:p>
    <w:p w14:paraId="6C117700" w14:textId="77777777" w:rsidR="0029213E" w:rsidRDefault="0029213E" w:rsidP="0029213E">
      <w:pPr>
        <w:spacing w:after="0"/>
        <w:rPr>
          <w:sz w:val="24"/>
          <w:szCs w:val="24"/>
        </w:rPr>
      </w:pPr>
    </w:p>
    <w:p w14:paraId="750F2B51" w14:textId="77777777" w:rsidR="0029213E" w:rsidRPr="00AE6484" w:rsidRDefault="0029213E" w:rsidP="0029213E">
      <w:pPr>
        <w:spacing w:after="0"/>
        <w:rPr>
          <w:sz w:val="24"/>
          <w:szCs w:val="24"/>
        </w:rPr>
      </w:pPr>
      <w:r>
        <w:rPr>
          <w:sz w:val="24"/>
          <w:szCs w:val="24"/>
        </w:rPr>
        <w:t>za TS technik s. r.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za Centrum experimentálního divadla p. o. </w:t>
      </w:r>
    </w:p>
    <w:p w14:paraId="61FDA70E" w14:textId="77777777" w:rsidR="00D84775" w:rsidRDefault="00D84775" w:rsidP="00D84775">
      <w:pPr>
        <w:spacing w:after="0"/>
        <w:ind w:left="-218"/>
        <w:rPr>
          <w:sz w:val="24"/>
          <w:szCs w:val="24"/>
        </w:rPr>
      </w:pPr>
    </w:p>
    <w:p w14:paraId="5AFE9BD3" w14:textId="77777777" w:rsidR="00D84775" w:rsidRPr="00AE6484" w:rsidRDefault="00D84775" w:rsidP="00D84775">
      <w:pPr>
        <w:spacing w:after="0"/>
        <w:ind w:left="-218"/>
        <w:rPr>
          <w:sz w:val="24"/>
          <w:szCs w:val="24"/>
        </w:rPr>
      </w:pPr>
    </w:p>
    <w:p w14:paraId="74ACE263" w14:textId="77777777" w:rsidR="00D84775" w:rsidRPr="00AE6484" w:rsidRDefault="0029213E" w:rsidP="00D84775">
      <w:pPr>
        <w:spacing w:after="0"/>
        <w:ind w:left="-2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4775" w:rsidRPr="00AE6484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</w:t>
      </w:r>
      <w:r w:rsidR="005C0F4A" w:rsidRPr="00AE6484">
        <w:rPr>
          <w:sz w:val="24"/>
          <w:szCs w:val="24"/>
        </w:rPr>
        <w:t>…</w:t>
      </w:r>
      <w:r w:rsidR="00D84775" w:rsidRPr="00AE6484">
        <w:rPr>
          <w:sz w:val="24"/>
          <w:szCs w:val="24"/>
        </w:rPr>
        <w:t>.....................................................</w:t>
      </w:r>
      <w:r w:rsidR="005C0F4A" w:rsidRPr="00AE6484">
        <w:rPr>
          <w:sz w:val="24"/>
          <w:szCs w:val="24"/>
        </w:rPr>
        <w:t>...</w:t>
      </w:r>
    </w:p>
    <w:p w14:paraId="2775F005" w14:textId="77777777" w:rsidR="00D84775" w:rsidRPr="00AE6484" w:rsidRDefault="0029213E" w:rsidP="00CA01D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Sedláček, jednatel</w:t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  <w:t xml:space="preserve">      </w:t>
      </w:r>
      <w:r w:rsidR="005C0F4A" w:rsidRPr="00AE6484">
        <w:rPr>
          <w:sz w:val="24"/>
          <w:szCs w:val="24"/>
        </w:rPr>
        <w:tab/>
        <w:t xml:space="preserve">      </w:t>
      </w:r>
      <w:r w:rsidR="00D84775" w:rsidRPr="00AE6484">
        <w:rPr>
          <w:sz w:val="24"/>
          <w:szCs w:val="24"/>
        </w:rPr>
        <w:t>prof. Petr Oslzlý, ředitel</w:t>
      </w:r>
      <w:r w:rsidR="00D84775" w:rsidRPr="00AE6484">
        <w:rPr>
          <w:sz w:val="24"/>
          <w:szCs w:val="24"/>
        </w:rPr>
        <w:tab/>
      </w:r>
    </w:p>
    <w:p w14:paraId="7285B3A0" w14:textId="77777777" w:rsidR="003E1A05" w:rsidRPr="00AE6484" w:rsidRDefault="00CA01D3" w:rsidP="00846F60">
      <w:pPr>
        <w:spacing w:after="0"/>
        <w:ind w:left="-21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775" w:rsidRPr="00AE6484">
        <w:rPr>
          <w:sz w:val="24"/>
          <w:szCs w:val="24"/>
        </w:rPr>
        <w:t>(</w:t>
      </w:r>
      <w:r w:rsidR="005C0F4A" w:rsidRPr="00AE6484">
        <w:rPr>
          <w:sz w:val="24"/>
          <w:szCs w:val="24"/>
        </w:rPr>
        <w:t>zhotovitel)</w:t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</w:r>
      <w:r w:rsidR="005C0F4A" w:rsidRPr="00AE6484">
        <w:rPr>
          <w:sz w:val="24"/>
          <w:szCs w:val="24"/>
        </w:rPr>
        <w:tab/>
        <w:t xml:space="preserve">                </w:t>
      </w:r>
      <w:r w:rsidR="00D84775" w:rsidRPr="00AE6484">
        <w:rPr>
          <w:sz w:val="24"/>
          <w:szCs w:val="24"/>
        </w:rPr>
        <w:t>(objednatel)</w:t>
      </w:r>
    </w:p>
    <w:sectPr w:rsidR="003E1A05" w:rsidRPr="00AE6484" w:rsidSect="002921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E1E"/>
    <w:multiLevelType w:val="hybridMultilevel"/>
    <w:tmpl w:val="F33614A4"/>
    <w:lvl w:ilvl="0" w:tplc="5BC071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24B5B"/>
    <w:multiLevelType w:val="hybridMultilevel"/>
    <w:tmpl w:val="F0FA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5D3D"/>
    <w:multiLevelType w:val="hybridMultilevel"/>
    <w:tmpl w:val="49E2F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0F0"/>
    <w:multiLevelType w:val="hybridMultilevel"/>
    <w:tmpl w:val="9018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0147"/>
    <w:multiLevelType w:val="hybridMultilevel"/>
    <w:tmpl w:val="B0E27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3EC8"/>
    <w:multiLevelType w:val="hybridMultilevel"/>
    <w:tmpl w:val="73A03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1A86"/>
    <w:multiLevelType w:val="hybridMultilevel"/>
    <w:tmpl w:val="4C64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54AF7"/>
    <w:multiLevelType w:val="hybridMultilevel"/>
    <w:tmpl w:val="9A682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041BE"/>
    <w:multiLevelType w:val="hybridMultilevel"/>
    <w:tmpl w:val="81366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D"/>
    <w:rsid w:val="00027570"/>
    <w:rsid w:val="000531DE"/>
    <w:rsid w:val="00104E25"/>
    <w:rsid w:val="001B7A28"/>
    <w:rsid w:val="001E2567"/>
    <w:rsid w:val="002265CF"/>
    <w:rsid w:val="0029213E"/>
    <w:rsid w:val="002A53DC"/>
    <w:rsid w:val="00393676"/>
    <w:rsid w:val="003D6FA4"/>
    <w:rsid w:val="003D75CB"/>
    <w:rsid w:val="003E1A05"/>
    <w:rsid w:val="003E7E0C"/>
    <w:rsid w:val="003F405C"/>
    <w:rsid w:val="003F4D14"/>
    <w:rsid w:val="00415883"/>
    <w:rsid w:val="00452AB0"/>
    <w:rsid w:val="004579EB"/>
    <w:rsid w:val="004A157B"/>
    <w:rsid w:val="00515672"/>
    <w:rsid w:val="005A2B35"/>
    <w:rsid w:val="005C0F4A"/>
    <w:rsid w:val="005F42D0"/>
    <w:rsid w:val="007359CE"/>
    <w:rsid w:val="00743A00"/>
    <w:rsid w:val="00846F60"/>
    <w:rsid w:val="00861170"/>
    <w:rsid w:val="008B5E22"/>
    <w:rsid w:val="00903FFD"/>
    <w:rsid w:val="00921A04"/>
    <w:rsid w:val="00A417EA"/>
    <w:rsid w:val="00A50575"/>
    <w:rsid w:val="00A65C11"/>
    <w:rsid w:val="00A7275A"/>
    <w:rsid w:val="00AE6484"/>
    <w:rsid w:val="00AF1B51"/>
    <w:rsid w:val="00B926B6"/>
    <w:rsid w:val="00C90E24"/>
    <w:rsid w:val="00CA01D3"/>
    <w:rsid w:val="00D7464D"/>
    <w:rsid w:val="00D84775"/>
    <w:rsid w:val="00DB4B1D"/>
    <w:rsid w:val="00E41932"/>
    <w:rsid w:val="00E672D8"/>
    <w:rsid w:val="00E75586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9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A"/>
    <w:pPr>
      <w:ind w:left="720"/>
      <w:contextualSpacing/>
    </w:pPr>
  </w:style>
  <w:style w:type="paragraph" w:customStyle="1" w:styleId="Obsahtabulky">
    <w:name w:val="Obsah tabulky"/>
    <w:basedOn w:val="Normal"/>
    <w:rsid w:val="005156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39"/>
    <w:rsid w:val="002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58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8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A"/>
    <w:pPr>
      <w:ind w:left="720"/>
      <w:contextualSpacing/>
    </w:pPr>
  </w:style>
  <w:style w:type="paragraph" w:customStyle="1" w:styleId="Obsahtabulky">
    <w:name w:val="Obsah tabulky"/>
    <w:basedOn w:val="Normal"/>
    <w:rsid w:val="005156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39"/>
    <w:rsid w:val="002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58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8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1BE-A0F5-BB49-83E9-3B2DF23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Petra Vodičková</cp:lastModifiedBy>
  <cp:revision>3</cp:revision>
  <dcterms:created xsi:type="dcterms:W3CDTF">2017-05-04T10:21:00Z</dcterms:created>
  <dcterms:modified xsi:type="dcterms:W3CDTF">2017-05-04T16:41:00Z</dcterms:modified>
</cp:coreProperties>
</file>